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BFD6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tbl>
      <w:tblPr>
        <w:tblStyle w:val="4"/>
        <w:tblW w:w="14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3"/>
        <w:gridCol w:w="1323"/>
        <w:gridCol w:w="1312"/>
        <w:gridCol w:w="2584"/>
        <w:gridCol w:w="500"/>
        <w:gridCol w:w="689"/>
        <w:gridCol w:w="704"/>
        <w:gridCol w:w="900"/>
        <w:gridCol w:w="804"/>
        <w:gridCol w:w="1386"/>
        <w:gridCol w:w="616"/>
        <w:gridCol w:w="516"/>
        <w:gridCol w:w="2383"/>
      </w:tblGrid>
      <w:tr w14:paraId="78685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540" w:type="dxa"/>
            <w:gridSpan w:val="13"/>
            <w:tcBorders>
              <w:top w:val="nil"/>
              <w:left w:val="nil"/>
              <w:bottom w:val="nil"/>
              <w:right w:val="nil"/>
            </w:tcBorders>
            <w:noWrap/>
            <w:vAlign w:val="center"/>
          </w:tcPr>
          <w:p w14:paraId="05F8297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洛阳市纳入医保基金支付范围的治疗性辅助生殖类医疗服务项目及限价</w:t>
            </w:r>
          </w:p>
        </w:tc>
      </w:tr>
      <w:tr w14:paraId="58E44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23" w:type="dxa"/>
            <w:vMerge w:val="restart"/>
            <w:tcBorders>
              <w:top w:val="single" w:color="000000" w:sz="4" w:space="0"/>
              <w:left w:val="single" w:color="000000" w:sz="4" w:space="0"/>
              <w:bottom w:val="single" w:color="000000" w:sz="4" w:space="0"/>
              <w:right w:val="single" w:color="000000" w:sz="4" w:space="0"/>
            </w:tcBorders>
            <w:noWrap/>
            <w:vAlign w:val="center"/>
          </w:tcPr>
          <w:p w14:paraId="35424A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1323" w:type="dxa"/>
            <w:vMerge w:val="restart"/>
            <w:tcBorders>
              <w:top w:val="single" w:color="000000" w:sz="4" w:space="0"/>
              <w:left w:val="single" w:color="000000" w:sz="4" w:space="0"/>
              <w:bottom w:val="single" w:color="000000" w:sz="4" w:space="0"/>
              <w:right w:val="single" w:color="000000" w:sz="4" w:space="0"/>
            </w:tcBorders>
            <w:noWrap/>
            <w:vAlign w:val="center"/>
          </w:tcPr>
          <w:p w14:paraId="71D96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项目编码</w:t>
            </w:r>
          </w:p>
        </w:tc>
        <w:tc>
          <w:tcPr>
            <w:tcW w:w="1312" w:type="dxa"/>
            <w:vMerge w:val="restart"/>
            <w:tcBorders>
              <w:top w:val="single" w:color="000000" w:sz="4" w:space="0"/>
              <w:left w:val="single" w:color="000000" w:sz="4" w:space="0"/>
              <w:bottom w:val="single" w:color="000000" w:sz="4" w:space="0"/>
              <w:right w:val="single" w:color="000000" w:sz="4" w:space="0"/>
            </w:tcBorders>
            <w:noWrap/>
            <w:vAlign w:val="center"/>
          </w:tcPr>
          <w:p w14:paraId="26A4C1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项目名称</w:t>
            </w:r>
          </w:p>
        </w:tc>
        <w:tc>
          <w:tcPr>
            <w:tcW w:w="2584" w:type="dxa"/>
            <w:vMerge w:val="restart"/>
            <w:tcBorders>
              <w:top w:val="single" w:color="000000" w:sz="4" w:space="0"/>
              <w:left w:val="single" w:color="000000" w:sz="4" w:space="0"/>
              <w:bottom w:val="single" w:color="000000" w:sz="4" w:space="0"/>
              <w:right w:val="single" w:color="000000" w:sz="4" w:space="0"/>
            </w:tcBorders>
            <w:noWrap/>
            <w:vAlign w:val="center"/>
          </w:tcPr>
          <w:p w14:paraId="77DC9B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项目内涵</w:t>
            </w: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A14E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除外内容</w:t>
            </w:r>
          </w:p>
        </w:tc>
        <w:tc>
          <w:tcPr>
            <w:tcW w:w="689" w:type="dxa"/>
            <w:vMerge w:val="restart"/>
            <w:tcBorders>
              <w:top w:val="single" w:color="000000" w:sz="4" w:space="0"/>
              <w:left w:val="single" w:color="000000" w:sz="4" w:space="0"/>
              <w:bottom w:val="single" w:color="000000" w:sz="4" w:space="0"/>
              <w:right w:val="single" w:color="000000" w:sz="4" w:space="0"/>
            </w:tcBorders>
            <w:noWrap w:val="0"/>
            <w:vAlign w:val="center"/>
          </w:tcPr>
          <w:p w14:paraId="6FE589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计价</w:t>
            </w:r>
          </w:p>
          <w:p w14:paraId="5EA376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单位</w:t>
            </w:r>
          </w:p>
        </w:tc>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14:paraId="31950D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省级</w:t>
            </w:r>
          </w:p>
          <w:p w14:paraId="22FE2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价格</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（元）</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A91C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市级</w:t>
            </w:r>
          </w:p>
          <w:p w14:paraId="4A89D5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价格</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（元）</w:t>
            </w:r>
          </w:p>
        </w:tc>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14:paraId="249D6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县级</w:t>
            </w:r>
          </w:p>
          <w:p w14:paraId="08C072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价格</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（元）</w:t>
            </w:r>
          </w:p>
        </w:tc>
        <w:tc>
          <w:tcPr>
            <w:tcW w:w="1386" w:type="dxa"/>
            <w:vMerge w:val="restart"/>
            <w:tcBorders>
              <w:top w:val="single" w:color="000000" w:sz="4" w:space="0"/>
              <w:left w:val="single" w:color="000000" w:sz="4" w:space="0"/>
              <w:bottom w:val="single" w:color="000000" w:sz="4" w:space="0"/>
              <w:right w:val="single" w:color="000000" w:sz="4" w:space="0"/>
            </w:tcBorders>
            <w:noWrap w:val="0"/>
            <w:vAlign w:val="center"/>
          </w:tcPr>
          <w:p w14:paraId="7E89D1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说明</w:t>
            </w:r>
          </w:p>
        </w:tc>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14:paraId="7B61EA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医保支付类别</w:t>
            </w:r>
          </w:p>
        </w:tc>
        <w:tc>
          <w:tcPr>
            <w:tcW w:w="516" w:type="dxa"/>
            <w:vMerge w:val="restart"/>
            <w:tcBorders>
              <w:top w:val="single" w:color="000000" w:sz="4" w:space="0"/>
              <w:left w:val="single" w:color="000000" w:sz="4" w:space="0"/>
              <w:bottom w:val="single" w:color="000000" w:sz="4" w:space="0"/>
              <w:right w:val="single" w:color="000000" w:sz="4" w:space="0"/>
            </w:tcBorders>
            <w:noWrap w:val="0"/>
            <w:vAlign w:val="center"/>
          </w:tcPr>
          <w:p w14:paraId="75F881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首自付比例</w:t>
            </w:r>
          </w:p>
        </w:tc>
        <w:tc>
          <w:tcPr>
            <w:tcW w:w="238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D69A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备注</w:t>
            </w:r>
          </w:p>
        </w:tc>
      </w:tr>
      <w:tr w14:paraId="78CB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3" w:type="dxa"/>
            <w:vMerge w:val="continue"/>
            <w:tcBorders>
              <w:top w:val="single" w:color="000000" w:sz="4" w:space="0"/>
              <w:left w:val="single" w:color="000000" w:sz="4" w:space="0"/>
              <w:bottom w:val="single" w:color="000000" w:sz="4" w:space="0"/>
              <w:right w:val="single" w:color="000000" w:sz="4" w:space="0"/>
            </w:tcBorders>
            <w:noWrap/>
            <w:vAlign w:val="center"/>
          </w:tcPr>
          <w:p w14:paraId="22391873">
            <w:pPr>
              <w:jc w:val="center"/>
              <w:rPr>
                <w:rFonts w:hint="eastAsia" w:ascii="黑体" w:hAnsi="宋体" w:eastAsia="黑体" w:cs="黑体"/>
                <w:i w:val="0"/>
                <w:iCs w:val="0"/>
                <w:color w:val="000000"/>
                <w:sz w:val="18"/>
                <w:szCs w:val="18"/>
                <w:u w:val="none"/>
              </w:rPr>
            </w:pPr>
          </w:p>
        </w:tc>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0637302E">
            <w:pPr>
              <w:jc w:val="center"/>
              <w:rPr>
                <w:rFonts w:hint="eastAsia" w:ascii="黑体" w:hAnsi="宋体" w:eastAsia="黑体" w:cs="黑体"/>
                <w:i w:val="0"/>
                <w:iCs w:val="0"/>
                <w:color w:val="000000"/>
                <w:sz w:val="18"/>
                <w:szCs w:val="18"/>
                <w:u w:val="none"/>
              </w:rPr>
            </w:pPr>
          </w:p>
        </w:tc>
        <w:tc>
          <w:tcPr>
            <w:tcW w:w="1312" w:type="dxa"/>
            <w:vMerge w:val="continue"/>
            <w:tcBorders>
              <w:top w:val="single" w:color="000000" w:sz="4" w:space="0"/>
              <w:left w:val="single" w:color="000000" w:sz="4" w:space="0"/>
              <w:bottom w:val="single" w:color="000000" w:sz="4" w:space="0"/>
              <w:right w:val="single" w:color="000000" w:sz="4" w:space="0"/>
            </w:tcBorders>
            <w:noWrap/>
            <w:vAlign w:val="center"/>
          </w:tcPr>
          <w:p w14:paraId="49CB1E6E">
            <w:pPr>
              <w:jc w:val="center"/>
              <w:rPr>
                <w:rFonts w:hint="eastAsia" w:ascii="黑体" w:hAnsi="宋体" w:eastAsia="黑体" w:cs="黑体"/>
                <w:i w:val="0"/>
                <w:iCs w:val="0"/>
                <w:color w:val="000000"/>
                <w:sz w:val="18"/>
                <w:szCs w:val="18"/>
                <w:u w:val="none"/>
              </w:rPr>
            </w:pPr>
          </w:p>
        </w:tc>
        <w:tc>
          <w:tcPr>
            <w:tcW w:w="2584" w:type="dxa"/>
            <w:vMerge w:val="continue"/>
            <w:tcBorders>
              <w:top w:val="single" w:color="000000" w:sz="4" w:space="0"/>
              <w:left w:val="single" w:color="000000" w:sz="4" w:space="0"/>
              <w:bottom w:val="single" w:color="000000" w:sz="4" w:space="0"/>
              <w:right w:val="single" w:color="000000" w:sz="4" w:space="0"/>
            </w:tcBorders>
            <w:noWrap/>
            <w:vAlign w:val="center"/>
          </w:tcPr>
          <w:p w14:paraId="2F0CED85">
            <w:pPr>
              <w:jc w:val="center"/>
              <w:rPr>
                <w:rFonts w:hint="eastAsia" w:ascii="黑体" w:hAnsi="宋体" w:eastAsia="黑体" w:cs="黑体"/>
                <w:i w:val="0"/>
                <w:iCs w:val="0"/>
                <w:color w:val="000000"/>
                <w:sz w:val="18"/>
                <w:szCs w:val="18"/>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1A3EB5">
            <w:pPr>
              <w:jc w:val="center"/>
              <w:rPr>
                <w:rFonts w:hint="eastAsia" w:ascii="黑体" w:hAnsi="宋体" w:eastAsia="黑体" w:cs="黑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578202">
            <w:pPr>
              <w:jc w:val="center"/>
              <w:rPr>
                <w:rFonts w:hint="eastAsia" w:ascii="黑体" w:hAnsi="宋体" w:eastAsia="黑体" w:cs="黑体"/>
                <w:i w:val="0"/>
                <w:iCs w:val="0"/>
                <w:color w:val="000000"/>
                <w:sz w:val="18"/>
                <w:szCs w:val="18"/>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7DD47">
            <w:pPr>
              <w:jc w:val="center"/>
              <w:rPr>
                <w:rFonts w:hint="eastAsia" w:ascii="黑体" w:hAnsi="宋体" w:eastAsia="黑体" w:cs="黑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486A6">
            <w:pPr>
              <w:jc w:val="center"/>
              <w:rPr>
                <w:rFonts w:hint="eastAsia" w:ascii="黑体" w:hAnsi="宋体" w:eastAsia="黑体" w:cs="黑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DC6D2C">
            <w:pPr>
              <w:jc w:val="center"/>
              <w:rPr>
                <w:rFonts w:hint="eastAsia" w:ascii="黑体" w:hAnsi="宋体" w:eastAsia="黑体" w:cs="黑体"/>
                <w:i w:val="0"/>
                <w:iCs w:val="0"/>
                <w:color w:val="000000"/>
                <w:sz w:val="18"/>
                <w:szCs w:val="18"/>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9945E0">
            <w:pPr>
              <w:jc w:val="center"/>
              <w:rPr>
                <w:rFonts w:hint="eastAsia" w:ascii="黑体" w:hAnsi="宋体" w:eastAsia="黑体" w:cs="黑体"/>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78B41">
            <w:pPr>
              <w:jc w:val="center"/>
              <w:rPr>
                <w:rFonts w:hint="eastAsia" w:ascii="黑体" w:hAnsi="宋体" w:eastAsia="黑体" w:cs="黑体"/>
                <w:i w:val="0"/>
                <w:iCs w:val="0"/>
                <w:color w:val="000000"/>
                <w:sz w:val="18"/>
                <w:szCs w:val="18"/>
                <w:u w:val="none"/>
              </w:rPr>
            </w:pPr>
          </w:p>
        </w:tc>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69E2A9">
            <w:pPr>
              <w:jc w:val="center"/>
              <w:rPr>
                <w:rFonts w:hint="eastAsia" w:ascii="黑体" w:hAnsi="宋体" w:eastAsia="黑体" w:cs="黑体"/>
                <w:i w:val="0"/>
                <w:iCs w:val="0"/>
                <w:color w:val="000000"/>
                <w:sz w:val="18"/>
                <w:szCs w:val="18"/>
                <w:u w:val="none"/>
              </w:rPr>
            </w:pPr>
          </w:p>
        </w:tc>
        <w:tc>
          <w:tcPr>
            <w:tcW w:w="23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BCE37">
            <w:pPr>
              <w:jc w:val="center"/>
              <w:rPr>
                <w:rFonts w:hint="eastAsia" w:ascii="黑体" w:hAnsi="宋体" w:eastAsia="黑体" w:cs="黑体"/>
                <w:i w:val="0"/>
                <w:iCs w:val="0"/>
                <w:color w:val="000000"/>
                <w:sz w:val="18"/>
                <w:szCs w:val="18"/>
                <w:u w:val="none"/>
              </w:rPr>
            </w:pPr>
          </w:p>
        </w:tc>
      </w:tr>
      <w:tr w14:paraId="07D3A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0D0E3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5721D0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311203001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37EE01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取卵术</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55A3B8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指通过临床技术操作获得卵母细胞。所定价格涵盖穿刺、取卵、卵泡冲洗、计数、评估过程中的人力资源和基本物质资源消耗。</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3AD2E74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49DC14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1B9B4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0D8E5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5CF1C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950</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50D7D1DC">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E02EC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68E6C8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0B80E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限门诊，每人终身限支付2次。</w:t>
            </w:r>
          </w:p>
        </w:tc>
      </w:tr>
      <w:tr w14:paraId="3CA39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65353D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0263EE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3112030011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5F5929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腹腔镜辅助操作（加收）</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0E654951">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1F403A6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57A96A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6ECF5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F8856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46EC3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600</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3776D2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辅助生殖类项目使用腹腔镜辅助手术的，仅能按此项目收费。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58805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丙类</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4A45742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E3AD5D2">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14:paraId="302B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58B5C5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2D572C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311203002</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639E73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胚胎培养</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677966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指在培养箱中将精卵采取体外结合形式进行培养。所定价格涵盖受精、培养、观察、评估等获得胚胎过程中的人力资源和基本物质资源消耗。</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631A70B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67DFAB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BD53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2850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E7358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2850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DA002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2850</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04C26EE1">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24F7E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715578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97907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限门诊，每人终身限支付2次。</w:t>
            </w:r>
          </w:p>
        </w:tc>
      </w:tr>
      <w:tr w14:paraId="3337F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451EB7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48D9B5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3112030021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2D7E5B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胚胎培养-囊胚培养</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5C2011CB">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56ED8E3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6E5605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EBB1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1140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B7667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1140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BF801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1140</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70FB91F6">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B12D6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775514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829A2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限门诊，每人终身限支付2次。</w:t>
            </w:r>
          </w:p>
        </w:tc>
      </w:tr>
      <w:tr w14:paraId="4A35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4F885A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5D05F7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311203005</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23DF07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胚胎移植</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1C288C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指将胚胎移送至患者宫腔内。所定价格涵盖胚胎评估、移送至患者宫腔内过程中所需的人力资源和基本物质资源消耗。</w:t>
            </w:r>
          </w:p>
          <w:p w14:paraId="399AFC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2C6445D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7E88E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E0325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EF4E5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5E970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950</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54D7DD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解冻后进行移植的，另行收取“胚胎移植”项目费用。</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83128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6235D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2CE6B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限门诊，每人终身限支付2次。</w:t>
            </w:r>
          </w:p>
        </w:tc>
      </w:tr>
      <w:tr w14:paraId="427DE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45907C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序号</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773215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项目编码</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3D26DD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项目名称</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5EEB47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项目内涵</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0EDFB7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除外内容</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70BF09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计价单位</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50B14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省级</w:t>
            </w:r>
          </w:p>
          <w:p w14:paraId="586C75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价格</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EF835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市级</w:t>
            </w:r>
          </w:p>
          <w:p w14:paraId="5BF645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价格</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（元）</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D53E5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县级</w:t>
            </w:r>
          </w:p>
          <w:p w14:paraId="1D8677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价格</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（元）</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0F2D1F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说明</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7C8C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医保支付类别</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217AC0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首自付比例</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FA99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备注</w:t>
            </w:r>
          </w:p>
        </w:tc>
      </w:tr>
      <w:tr w14:paraId="4760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02868D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2B31E9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3112030051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0D06BE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胚胎移植—冻融胚胎（囊胚）解冻</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1F6CF9C2">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0EC238E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6D2070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603C8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165AF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475</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69535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475</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48A79AA7">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02F91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43B879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E133F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限门诊，每人终身限支付2次。</w:t>
            </w:r>
          </w:p>
        </w:tc>
      </w:tr>
      <w:tr w14:paraId="62AE0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672737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78B82D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311203008</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79B89D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组织、细胞活检</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(辅助生殖)</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2E04DD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在囊胚/卵裂期胚胎/卵母细胞等辅助生殖相关的组织、细胞上分离出检测标本。所定价格涵盖通过筛选、评估、透明带处理，吸取分离标本过程中所需的人力资源和基本物质资源消耗。</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48804CC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2AB4B4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每个胚胎(卵)</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FA062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1425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C3B61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1425</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D754E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1425</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49692A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每增加一个胚胎(卵)加收80%，每个活检周期加收不超过4次。</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07AF1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091C0F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FC48B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限：1.夫妻一方为单基因病患者或双方是同一单基因病的携带者，曾孕育或具有生育致畸、致残、致死的单基因病患儿高风险的夫妻；2.夫妻一方或双方携带染色体结构异常，包括相互易位、罗氏易位、倒位、复杂易位、致病性微缺失或致病性微重复等。3.门诊，每人终身限支付2个胚胎(卵)。</w:t>
            </w:r>
          </w:p>
        </w:tc>
      </w:tr>
      <w:tr w14:paraId="4F54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3" w:hRule="atLeast"/>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02EC48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05CFE4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311203009</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689C0C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人工授精</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3DFA2D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通过临床操作将精液注入患者宫腔内。所定价格涵盖精液注入、观察等过程中所需的人力资源和基本物质资源消耗。</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2460719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056C54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4D2F3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52AC0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E2C0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65619736">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4D89A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1BD2B4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15339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限门诊，每人终身限支付2次。</w:t>
            </w:r>
          </w:p>
        </w:tc>
      </w:tr>
      <w:tr w14:paraId="2436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2D308F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2A95A7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3112030091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2075EF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阴道（宫颈）内人工授精</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782879F1">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25F56F0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75F119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6A035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5A50B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EE27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320</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28B1D06C">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41D11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7BABCC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438E0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限门诊，每人终身限支付2次。</w:t>
            </w:r>
          </w:p>
        </w:tc>
      </w:tr>
      <w:tr w14:paraId="69535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245EA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5762F7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311203010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1F134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精子优选处理</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4D8F5D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通过实验室手段从精液中筛选优质精子。所定价格涵盖精液采集、分析、处理、筛选、评估过程中所需的人力资源和基本物质资源消耗。</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2905AD4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1D8CFA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387A3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F67E9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5D86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71618FC6">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7D01E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3D5726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8F591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限门诊，每人终身限支付2次。</w:t>
            </w:r>
          </w:p>
        </w:tc>
      </w:tr>
      <w:tr w14:paraId="5A46C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40B57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6D1F68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311203011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54A017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取精术</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07288A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通过手术方式获取精子。所定价格涵盖穿刺、分离、获取精子评估过程中的人力资源和基本物质资源消耗。</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21AA3F9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14EBD1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1E68D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BE8E0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05784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260</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3BA3B1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双侧同时取精的，分别计价收费。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0151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2F18CC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D17B0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限门诊，每人终身限支付2次。</w:t>
            </w:r>
          </w:p>
        </w:tc>
      </w:tr>
      <w:tr w14:paraId="04A5F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636D35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序号</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6BFDCE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项目编码</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3B64FE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项目名称</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6C3FFB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项目内涵</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0F5F74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除外内容</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212F5A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计价单位</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B562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省级</w:t>
            </w:r>
          </w:p>
          <w:p w14:paraId="1280E9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价格</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45D2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市级</w:t>
            </w:r>
          </w:p>
          <w:p w14:paraId="3575FA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价格</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（元）</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62CEF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县级</w:t>
            </w:r>
          </w:p>
          <w:p w14:paraId="0E362C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价格</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（元）</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74A53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说明</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F957D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医保支付类别</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0E1E5C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首自付比例</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3354A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备注</w:t>
            </w:r>
          </w:p>
        </w:tc>
      </w:tr>
      <w:tr w14:paraId="1976A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7206DB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5C508C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3112030111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18147E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显微镜下切开取精术（加收）</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7304AF21">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1B29533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626A3D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116AA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1240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6FBB8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1240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D8C6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1240</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67BD7580">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5271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03B062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CF84A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限门诊，每人终身限支付2次。</w:t>
            </w:r>
          </w:p>
        </w:tc>
      </w:tr>
      <w:tr w14:paraId="3E10A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823" w:type="dxa"/>
            <w:tcBorders>
              <w:top w:val="single" w:color="000000" w:sz="4" w:space="0"/>
              <w:left w:val="single" w:color="000000" w:sz="4" w:space="0"/>
              <w:bottom w:val="single" w:color="000000" w:sz="4" w:space="0"/>
              <w:right w:val="single" w:color="000000" w:sz="4" w:space="0"/>
            </w:tcBorders>
            <w:noWrap w:val="0"/>
            <w:vAlign w:val="center"/>
          </w:tcPr>
          <w:p w14:paraId="6ADB55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31F57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311203012</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646C95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单精子注射</w:t>
            </w:r>
          </w:p>
        </w:tc>
        <w:tc>
          <w:tcPr>
            <w:tcW w:w="2584" w:type="dxa"/>
            <w:tcBorders>
              <w:top w:val="single" w:color="000000" w:sz="4" w:space="0"/>
              <w:left w:val="single" w:color="000000" w:sz="4" w:space="0"/>
              <w:bottom w:val="single" w:color="000000" w:sz="4" w:space="0"/>
              <w:right w:val="single" w:color="000000" w:sz="4" w:space="0"/>
            </w:tcBorders>
            <w:noWrap w:val="0"/>
            <w:vAlign w:val="center"/>
          </w:tcPr>
          <w:p w14:paraId="62ED93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将优选处理后精子注射进卵母细胞，促进形成胚胎。所定价格涵盖将精子制动、吸入，注入卵母细胞胞浆等过程中的人力资源和基本物质资源消耗。</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467F9FA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02A2C8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卵·次</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115DD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1350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5758A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1350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22054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1350</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2A5148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每增加一个卵加收60%，加收不超过2次。</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0DDAA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5FD6D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44380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限门诊，每人终身限支付2卵·次。</w:t>
            </w:r>
          </w:p>
        </w:tc>
      </w:tr>
    </w:tbl>
    <w:p w14:paraId="32F586AB">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color w:val="auto"/>
          <w:sz w:val="32"/>
          <w:szCs w:val="32"/>
          <w:lang w:val="en-US" w:eastAsia="zh-CN"/>
        </w:rPr>
      </w:pPr>
    </w:p>
    <w:p w14:paraId="64E3ECC2">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r>
        <w:rPr>
          <w:rFonts w:hint="eastAsia" w:ascii="仿宋_GB2312" w:hAnsi="仿宋_GB2312" w:eastAsia="仿宋_GB2312" w:cs="仿宋_GB2312"/>
          <w:color w:val="auto"/>
          <w:sz w:val="32"/>
          <w:szCs w:val="32"/>
          <w:lang w:val="en-US" w:eastAsia="zh-CN"/>
        </w:rPr>
        <w:t>附件2</w:t>
      </w:r>
    </w:p>
    <w:p w14:paraId="14196738">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洛阳市批准开展人类辅助生殖技术</w:t>
      </w:r>
      <w:bookmarkStart w:id="0" w:name="_GoBack"/>
      <w:bookmarkEnd w:id="0"/>
      <w:r>
        <w:rPr>
          <w:rFonts w:hint="eastAsia" w:ascii="方正小标宋简体" w:hAnsi="方正小标宋简体" w:eastAsia="方正小标宋简体" w:cs="方正小标宋简体"/>
          <w:color w:val="auto"/>
          <w:sz w:val="44"/>
          <w:szCs w:val="44"/>
          <w:lang w:val="en-US" w:eastAsia="zh-CN"/>
        </w:rPr>
        <w:t>的医疗机构名单</w:t>
      </w:r>
    </w:p>
    <w:tbl>
      <w:tblPr>
        <w:tblStyle w:val="9"/>
        <w:tblW w:w="13538"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3458"/>
        <w:gridCol w:w="4295"/>
        <w:gridCol w:w="4923"/>
      </w:tblGrid>
      <w:tr w14:paraId="7DCE2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62" w:type="dxa"/>
            <w:tcBorders>
              <w:tl2br w:val="nil"/>
              <w:tr2bl w:val="nil"/>
            </w:tcBorders>
            <w:noWrap w:val="0"/>
            <w:vAlign w:val="center"/>
          </w:tcPr>
          <w:p w14:paraId="2AB110A6">
            <w:pPr>
              <w:pStyle w:val="8"/>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黑体" w:hAnsi="黑体" w:eastAsia="黑体" w:cs="黑体"/>
                <w:sz w:val="24"/>
                <w:szCs w:val="24"/>
              </w:rPr>
            </w:pPr>
            <w:r>
              <w:rPr>
                <w:rFonts w:hint="eastAsia" w:ascii="黑体" w:hAnsi="黑体" w:eastAsia="黑体" w:cs="黑体"/>
                <w:b/>
                <w:bCs/>
                <w:spacing w:val="-4"/>
                <w:sz w:val="24"/>
                <w:szCs w:val="24"/>
              </w:rPr>
              <w:t>序号</w:t>
            </w:r>
          </w:p>
        </w:tc>
        <w:tc>
          <w:tcPr>
            <w:tcW w:w="3458" w:type="dxa"/>
            <w:tcBorders>
              <w:tl2br w:val="nil"/>
              <w:tr2bl w:val="nil"/>
            </w:tcBorders>
            <w:noWrap w:val="0"/>
            <w:vAlign w:val="center"/>
          </w:tcPr>
          <w:p w14:paraId="172C873E">
            <w:pPr>
              <w:pStyle w:val="8"/>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黑体" w:hAnsi="黑体" w:eastAsia="黑体" w:cs="黑体"/>
                <w:sz w:val="24"/>
                <w:szCs w:val="24"/>
              </w:rPr>
            </w:pPr>
            <w:r>
              <w:rPr>
                <w:rFonts w:hint="eastAsia" w:ascii="黑体" w:hAnsi="黑体" w:eastAsia="黑体" w:cs="黑体"/>
                <w:b/>
                <w:bCs/>
                <w:spacing w:val="-2"/>
                <w:sz w:val="24"/>
                <w:szCs w:val="24"/>
              </w:rPr>
              <w:t>医疗机构名称</w:t>
            </w:r>
          </w:p>
        </w:tc>
        <w:tc>
          <w:tcPr>
            <w:tcW w:w="4295" w:type="dxa"/>
            <w:tcBorders>
              <w:tl2br w:val="nil"/>
              <w:tr2bl w:val="nil"/>
            </w:tcBorders>
            <w:noWrap w:val="0"/>
            <w:vAlign w:val="center"/>
          </w:tcPr>
          <w:p w14:paraId="161FFE39">
            <w:pPr>
              <w:pStyle w:val="8"/>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黑体" w:hAnsi="黑体" w:eastAsia="黑体" w:cs="黑体"/>
                <w:sz w:val="24"/>
                <w:szCs w:val="24"/>
              </w:rPr>
            </w:pPr>
            <w:r>
              <w:rPr>
                <w:rFonts w:hint="eastAsia" w:ascii="黑体" w:hAnsi="黑体" w:eastAsia="黑体" w:cs="黑体"/>
                <w:b/>
                <w:bCs/>
                <w:spacing w:val="-4"/>
                <w:sz w:val="24"/>
                <w:szCs w:val="24"/>
              </w:rPr>
              <w:t>机构地址</w:t>
            </w:r>
          </w:p>
        </w:tc>
        <w:tc>
          <w:tcPr>
            <w:tcW w:w="4923" w:type="dxa"/>
            <w:tcBorders>
              <w:tl2br w:val="nil"/>
              <w:tr2bl w:val="nil"/>
            </w:tcBorders>
            <w:noWrap w:val="0"/>
            <w:vAlign w:val="center"/>
          </w:tcPr>
          <w:p w14:paraId="7DA1CC54">
            <w:pPr>
              <w:pStyle w:val="8"/>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黑体" w:hAnsi="黑体" w:eastAsia="黑体" w:cs="黑体"/>
                <w:sz w:val="24"/>
                <w:szCs w:val="24"/>
              </w:rPr>
            </w:pPr>
            <w:r>
              <w:rPr>
                <w:rFonts w:hint="eastAsia" w:ascii="黑体" w:hAnsi="黑体" w:eastAsia="黑体" w:cs="黑体"/>
                <w:b/>
                <w:bCs/>
                <w:spacing w:val="-4"/>
                <w:sz w:val="24"/>
                <w:szCs w:val="24"/>
              </w:rPr>
              <w:t>准入技术</w:t>
            </w:r>
          </w:p>
        </w:tc>
      </w:tr>
      <w:tr w14:paraId="7299E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62" w:type="dxa"/>
            <w:tcBorders>
              <w:tl2br w:val="nil"/>
              <w:tr2bl w:val="nil"/>
            </w:tcBorders>
            <w:noWrap w:val="0"/>
            <w:vAlign w:val="center"/>
          </w:tcPr>
          <w:p w14:paraId="12297C98">
            <w:pPr>
              <w:pStyle w:val="8"/>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3458" w:type="dxa"/>
            <w:tcBorders>
              <w:tl2br w:val="nil"/>
              <w:tr2bl w:val="nil"/>
            </w:tcBorders>
            <w:noWrap w:val="0"/>
            <w:vAlign w:val="center"/>
          </w:tcPr>
          <w:p w14:paraId="378D59BB">
            <w:pPr>
              <w:pStyle w:val="8"/>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1"/>
                <w:sz w:val="24"/>
                <w:szCs w:val="24"/>
              </w:rPr>
              <w:t>河南科技大学第一</w:t>
            </w:r>
            <w:r>
              <w:rPr>
                <w:rFonts w:hint="eastAsia" w:ascii="仿宋_GB2312" w:hAnsi="仿宋_GB2312" w:eastAsia="仿宋_GB2312" w:cs="仿宋_GB2312"/>
                <w:spacing w:val="2"/>
                <w:sz w:val="24"/>
                <w:szCs w:val="24"/>
              </w:rPr>
              <w:t>附属医院</w:t>
            </w:r>
          </w:p>
        </w:tc>
        <w:tc>
          <w:tcPr>
            <w:tcW w:w="4295" w:type="dxa"/>
            <w:tcBorders>
              <w:tl2br w:val="nil"/>
              <w:tr2bl w:val="nil"/>
            </w:tcBorders>
            <w:noWrap w:val="0"/>
            <w:vAlign w:val="center"/>
          </w:tcPr>
          <w:p w14:paraId="4618237C">
            <w:pPr>
              <w:pStyle w:val="8"/>
              <w:keepNext w:val="0"/>
              <w:keepLines w:val="0"/>
              <w:pageBreakBefore w:val="0"/>
              <w:widowControl w:val="0"/>
              <w:kinsoku/>
              <w:wordWrap/>
              <w:overflowPunct/>
              <w:topLinePunct w:val="0"/>
              <w:autoSpaceDE/>
              <w:autoSpaceDN/>
              <w:bidi w:val="0"/>
              <w:adjustRightInd/>
              <w:snapToGrid/>
              <w:spacing w:line="240" w:lineRule="exact"/>
              <w:ind w:left="0" w:leftChars="0" w:right="0" w:firstLine="0"/>
              <w:jc w:val="center"/>
              <w:textAlignment w:val="auto"/>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1"/>
                <w:sz w:val="24"/>
                <w:szCs w:val="24"/>
              </w:rPr>
              <w:t>洛阳市涧西区安徽路31号</w:t>
            </w:r>
          </w:p>
        </w:tc>
        <w:tc>
          <w:tcPr>
            <w:tcW w:w="4923" w:type="dxa"/>
            <w:tcBorders>
              <w:tl2br w:val="nil"/>
              <w:tr2bl w:val="nil"/>
            </w:tcBorders>
            <w:noWrap w:val="0"/>
            <w:vAlign w:val="center"/>
          </w:tcPr>
          <w:p w14:paraId="23FC06EF">
            <w:pPr>
              <w:pStyle w:val="8"/>
              <w:keepNext w:val="0"/>
              <w:keepLines w:val="0"/>
              <w:pageBreakBefore w:val="0"/>
              <w:widowControl w:val="0"/>
              <w:kinsoku/>
              <w:wordWrap/>
              <w:overflowPunct/>
              <w:topLinePunct w:val="0"/>
              <w:autoSpaceDE/>
              <w:autoSpaceDN/>
              <w:bidi w:val="0"/>
              <w:adjustRightInd/>
              <w:snapToGrid/>
              <w:spacing w:line="240" w:lineRule="exact"/>
              <w:ind w:left="0" w:leftChars="0" w:right="0" w:firstLine="0"/>
              <w:jc w:val="left"/>
              <w:textAlignment w:val="auto"/>
              <w:rPr>
                <w:rFonts w:hint="eastAsia" w:ascii="仿宋_GB2312" w:hAnsi="仿宋_GB2312" w:eastAsia="仿宋_GB2312" w:cs="仿宋_GB2312"/>
                <w:kern w:val="2"/>
                <w:sz w:val="24"/>
                <w:szCs w:val="24"/>
                <w:lang w:val="en-US" w:eastAsia="en-US" w:bidi="ar-SA"/>
              </w:rPr>
            </w:pPr>
            <w:r>
              <w:rPr>
                <w:rFonts w:hint="eastAsia" w:ascii="仿宋_GB2312" w:hAnsi="仿宋_GB2312" w:eastAsia="仿宋_GB2312" w:cs="仿宋_GB2312"/>
                <w:spacing w:val="1"/>
                <w:sz w:val="24"/>
                <w:szCs w:val="24"/>
              </w:rPr>
              <w:t>夫精人工授精技术</w:t>
            </w:r>
          </w:p>
        </w:tc>
      </w:tr>
      <w:tr w14:paraId="299DE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62" w:type="dxa"/>
            <w:vMerge w:val="restart"/>
            <w:tcBorders>
              <w:tl2br w:val="nil"/>
              <w:tr2bl w:val="nil"/>
            </w:tcBorders>
            <w:noWrap w:val="0"/>
            <w:vAlign w:val="center"/>
          </w:tcPr>
          <w:p w14:paraId="2ACCA85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sz w:val="28"/>
                <w:szCs w:val="28"/>
              </w:rPr>
            </w:pPr>
          </w:p>
          <w:p w14:paraId="3E20858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p w14:paraId="4372F65E">
            <w:pPr>
              <w:pStyle w:val="8"/>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sz w:val="28"/>
                <w:szCs w:val="28"/>
              </w:rPr>
            </w:pPr>
          </w:p>
        </w:tc>
        <w:tc>
          <w:tcPr>
            <w:tcW w:w="3458" w:type="dxa"/>
            <w:vMerge w:val="restart"/>
            <w:tcBorders>
              <w:tl2br w:val="nil"/>
              <w:tr2bl w:val="nil"/>
            </w:tcBorders>
            <w:noWrap w:val="0"/>
            <w:vAlign w:val="center"/>
          </w:tcPr>
          <w:p w14:paraId="70E648E2">
            <w:pPr>
              <w:pStyle w:val="8"/>
              <w:keepNext w:val="0"/>
              <w:keepLines w:val="0"/>
              <w:pageBreakBefore w:val="0"/>
              <w:widowControl w:val="0"/>
              <w:kinsoku/>
              <w:wordWrap/>
              <w:overflowPunct/>
              <w:topLinePunct w:val="0"/>
              <w:autoSpaceDE/>
              <w:autoSpaceDN/>
              <w:bidi w:val="0"/>
              <w:adjustRightInd/>
              <w:snapToGrid/>
              <w:spacing w:line="240" w:lineRule="exact"/>
              <w:ind w:left="0" w:leftChars="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洛阳市中心医院</w:t>
            </w:r>
          </w:p>
        </w:tc>
        <w:tc>
          <w:tcPr>
            <w:tcW w:w="4295" w:type="dxa"/>
            <w:vMerge w:val="restart"/>
            <w:tcBorders>
              <w:tl2br w:val="nil"/>
              <w:tr2bl w:val="nil"/>
            </w:tcBorders>
            <w:noWrap w:val="0"/>
            <w:vAlign w:val="center"/>
          </w:tcPr>
          <w:p w14:paraId="1AFEB8F2">
            <w:pPr>
              <w:pStyle w:val="8"/>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河南省洛阳市西工区中</w:t>
            </w:r>
            <w:r>
              <w:rPr>
                <w:rFonts w:hint="eastAsia" w:ascii="仿宋_GB2312" w:hAnsi="仿宋_GB2312" w:eastAsia="仿宋_GB2312" w:cs="仿宋_GB2312"/>
                <w:spacing w:val="1"/>
                <w:sz w:val="24"/>
                <w:szCs w:val="24"/>
              </w:rPr>
              <w:t>州中路288号</w:t>
            </w:r>
          </w:p>
        </w:tc>
        <w:tc>
          <w:tcPr>
            <w:tcW w:w="4923" w:type="dxa"/>
            <w:tcBorders>
              <w:tl2br w:val="nil"/>
              <w:tr2bl w:val="nil"/>
            </w:tcBorders>
            <w:noWrap w:val="0"/>
            <w:vAlign w:val="top"/>
          </w:tcPr>
          <w:p w14:paraId="7A7E9FCA">
            <w:pPr>
              <w:pStyle w:val="8"/>
              <w:spacing w:before="54" w:line="217" w:lineRule="auto"/>
              <w:ind w:left="25" w:leftChars="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夫精人工授精技术</w:t>
            </w:r>
          </w:p>
        </w:tc>
      </w:tr>
      <w:tr w14:paraId="6E832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62" w:type="dxa"/>
            <w:vMerge w:val="continue"/>
            <w:tcBorders>
              <w:tl2br w:val="nil"/>
              <w:tr2bl w:val="nil"/>
            </w:tcBorders>
            <w:noWrap w:val="0"/>
            <w:vAlign w:val="center"/>
          </w:tcPr>
          <w:p w14:paraId="6EB7AD4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sz w:val="28"/>
                <w:szCs w:val="28"/>
              </w:rPr>
            </w:pPr>
          </w:p>
        </w:tc>
        <w:tc>
          <w:tcPr>
            <w:tcW w:w="3458" w:type="dxa"/>
            <w:vMerge w:val="continue"/>
            <w:tcBorders>
              <w:tl2br w:val="nil"/>
              <w:tr2bl w:val="nil"/>
            </w:tcBorders>
            <w:noWrap w:val="0"/>
            <w:vAlign w:val="top"/>
          </w:tcPr>
          <w:p w14:paraId="69109C5A">
            <w:pPr>
              <w:rPr>
                <w:rFonts w:hint="eastAsia" w:ascii="仿宋_GB2312" w:hAnsi="仿宋_GB2312" w:eastAsia="仿宋_GB2312" w:cs="仿宋_GB2312"/>
                <w:sz w:val="24"/>
                <w:szCs w:val="24"/>
              </w:rPr>
            </w:pPr>
          </w:p>
        </w:tc>
        <w:tc>
          <w:tcPr>
            <w:tcW w:w="4295" w:type="dxa"/>
            <w:vMerge w:val="continue"/>
            <w:tcBorders>
              <w:tl2br w:val="nil"/>
              <w:tr2bl w:val="nil"/>
            </w:tcBorders>
            <w:noWrap w:val="0"/>
            <w:vAlign w:val="top"/>
          </w:tcPr>
          <w:p w14:paraId="425C1E8E">
            <w:pPr>
              <w:rPr>
                <w:rFonts w:hint="eastAsia" w:ascii="仿宋_GB2312" w:hAnsi="仿宋_GB2312" w:eastAsia="仿宋_GB2312" w:cs="仿宋_GB2312"/>
                <w:sz w:val="24"/>
                <w:szCs w:val="24"/>
              </w:rPr>
            </w:pPr>
          </w:p>
        </w:tc>
        <w:tc>
          <w:tcPr>
            <w:tcW w:w="4923" w:type="dxa"/>
            <w:tcBorders>
              <w:tl2br w:val="nil"/>
              <w:tr2bl w:val="nil"/>
            </w:tcBorders>
            <w:noWrap w:val="0"/>
            <w:vAlign w:val="top"/>
          </w:tcPr>
          <w:p w14:paraId="2A5BF249">
            <w:pPr>
              <w:pStyle w:val="8"/>
              <w:spacing w:before="73" w:line="219" w:lineRule="auto"/>
              <w:ind w:left="35"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常规体外受精-胚胎移植技术</w:t>
            </w:r>
          </w:p>
        </w:tc>
      </w:tr>
      <w:tr w14:paraId="3C753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62" w:type="dxa"/>
            <w:vMerge w:val="continue"/>
            <w:tcBorders>
              <w:tl2br w:val="nil"/>
              <w:tr2bl w:val="nil"/>
            </w:tcBorders>
            <w:noWrap w:val="0"/>
            <w:vAlign w:val="center"/>
          </w:tcPr>
          <w:p w14:paraId="1509FEA2">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sz w:val="28"/>
                <w:szCs w:val="28"/>
              </w:rPr>
            </w:pPr>
          </w:p>
        </w:tc>
        <w:tc>
          <w:tcPr>
            <w:tcW w:w="3458" w:type="dxa"/>
            <w:vMerge w:val="continue"/>
            <w:tcBorders>
              <w:tl2br w:val="nil"/>
              <w:tr2bl w:val="nil"/>
            </w:tcBorders>
            <w:noWrap w:val="0"/>
            <w:vAlign w:val="top"/>
          </w:tcPr>
          <w:p w14:paraId="7C419D2E">
            <w:pPr>
              <w:rPr>
                <w:rFonts w:hint="eastAsia" w:ascii="仿宋_GB2312" w:hAnsi="仿宋_GB2312" w:eastAsia="仿宋_GB2312" w:cs="仿宋_GB2312"/>
                <w:sz w:val="24"/>
                <w:szCs w:val="24"/>
              </w:rPr>
            </w:pPr>
          </w:p>
        </w:tc>
        <w:tc>
          <w:tcPr>
            <w:tcW w:w="4295" w:type="dxa"/>
            <w:vMerge w:val="continue"/>
            <w:tcBorders>
              <w:tl2br w:val="nil"/>
              <w:tr2bl w:val="nil"/>
            </w:tcBorders>
            <w:noWrap w:val="0"/>
            <w:vAlign w:val="top"/>
          </w:tcPr>
          <w:p w14:paraId="3882D7ED">
            <w:pPr>
              <w:rPr>
                <w:rFonts w:hint="eastAsia" w:ascii="仿宋_GB2312" w:hAnsi="仿宋_GB2312" w:eastAsia="仿宋_GB2312" w:cs="仿宋_GB2312"/>
                <w:sz w:val="24"/>
                <w:szCs w:val="24"/>
              </w:rPr>
            </w:pPr>
          </w:p>
        </w:tc>
        <w:tc>
          <w:tcPr>
            <w:tcW w:w="4923" w:type="dxa"/>
            <w:tcBorders>
              <w:tl2br w:val="nil"/>
              <w:tr2bl w:val="nil"/>
            </w:tcBorders>
            <w:noWrap w:val="0"/>
            <w:vAlign w:val="top"/>
          </w:tcPr>
          <w:p w14:paraId="352928A8">
            <w:pPr>
              <w:pStyle w:val="8"/>
              <w:spacing w:before="54" w:line="217" w:lineRule="auto"/>
              <w:ind w:left="25"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卵胞浆内单精子显微注射技</w:t>
            </w:r>
          </w:p>
        </w:tc>
      </w:tr>
      <w:tr w14:paraId="17006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62" w:type="dxa"/>
            <w:vMerge w:val="continue"/>
            <w:tcBorders>
              <w:tl2br w:val="nil"/>
              <w:tr2bl w:val="nil"/>
            </w:tcBorders>
            <w:noWrap w:val="0"/>
            <w:vAlign w:val="center"/>
          </w:tcPr>
          <w:p w14:paraId="210D761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sz w:val="28"/>
                <w:szCs w:val="28"/>
              </w:rPr>
            </w:pPr>
          </w:p>
        </w:tc>
        <w:tc>
          <w:tcPr>
            <w:tcW w:w="3458" w:type="dxa"/>
            <w:vMerge w:val="continue"/>
            <w:tcBorders>
              <w:tl2br w:val="nil"/>
              <w:tr2bl w:val="nil"/>
            </w:tcBorders>
            <w:noWrap w:val="0"/>
            <w:vAlign w:val="top"/>
          </w:tcPr>
          <w:p w14:paraId="1EFA1AEE">
            <w:pPr>
              <w:rPr>
                <w:rFonts w:hint="eastAsia" w:ascii="仿宋_GB2312" w:hAnsi="仿宋_GB2312" w:eastAsia="仿宋_GB2312" w:cs="仿宋_GB2312"/>
                <w:sz w:val="24"/>
                <w:szCs w:val="24"/>
              </w:rPr>
            </w:pPr>
          </w:p>
        </w:tc>
        <w:tc>
          <w:tcPr>
            <w:tcW w:w="4295" w:type="dxa"/>
            <w:vMerge w:val="continue"/>
            <w:tcBorders>
              <w:tl2br w:val="nil"/>
              <w:tr2bl w:val="nil"/>
            </w:tcBorders>
            <w:noWrap w:val="0"/>
            <w:vAlign w:val="top"/>
          </w:tcPr>
          <w:p w14:paraId="58615F0F">
            <w:pPr>
              <w:rPr>
                <w:rFonts w:hint="eastAsia" w:ascii="仿宋_GB2312" w:hAnsi="仿宋_GB2312" w:eastAsia="仿宋_GB2312" w:cs="仿宋_GB2312"/>
                <w:sz w:val="24"/>
                <w:szCs w:val="24"/>
              </w:rPr>
            </w:pPr>
          </w:p>
        </w:tc>
        <w:tc>
          <w:tcPr>
            <w:tcW w:w="4923" w:type="dxa"/>
            <w:tcBorders>
              <w:tl2br w:val="nil"/>
              <w:tr2bl w:val="nil"/>
            </w:tcBorders>
            <w:noWrap w:val="0"/>
            <w:vAlign w:val="top"/>
          </w:tcPr>
          <w:p w14:paraId="47C33AAC">
            <w:pPr>
              <w:pStyle w:val="8"/>
              <w:spacing w:before="63" w:line="218" w:lineRule="auto"/>
              <w:ind w:left="25" w:leftChars="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供精人工授精技术</w:t>
            </w:r>
          </w:p>
        </w:tc>
      </w:tr>
      <w:tr w14:paraId="3B7CB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62" w:type="dxa"/>
            <w:vMerge w:val="restart"/>
            <w:tcBorders>
              <w:tl2br w:val="nil"/>
              <w:tr2bl w:val="nil"/>
            </w:tcBorders>
            <w:noWrap w:val="0"/>
            <w:vAlign w:val="center"/>
          </w:tcPr>
          <w:p w14:paraId="10740573">
            <w:pPr>
              <w:pStyle w:val="8"/>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3458" w:type="dxa"/>
            <w:vMerge w:val="restart"/>
            <w:tcBorders>
              <w:tl2br w:val="nil"/>
              <w:tr2bl w:val="nil"/>
            </w:tcBorders>
            <w:noWrap w:val="0"/>
            <w:vAlign w:val="center"/>
          </w:tcPr>
          <w:p w14:paraId="57669D1F">
            <w:pPr>
              <w:pStyle w:val="8"/>
              <w:keepNext w:val="0"/>
              <w:keepLines w:val="0"/>
              <w:pageBreakBefore w:val="0"/>
              <w:widowControl w:val="0"/>
              <w:kinsoku/>
              <w:wordWrap/>
              <w:overflowPunct/>
              <w:topLinePunct w:val="0"/>
              <w:autoSpaceDE/>
              <w:autoSpaceDN/>
              <w:bidi w:val="0"/>
              <w:adjustRightInd/>
              <w:snapToGrid/>
              <w:spacing w:line="240" w:lineRule="exact"/>
              <w:ind w:left="0" w:leftChars="0" w:right="0" w:firstLine="0"/>
              <w:jc w:val="center"/>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洛阳市妇幼保健院</w:t>
            </w:r>
          </w:p>
        </w:tc>
        <w:tc>
          <w:tcPr>
            <w:tcW w:w="4295" w:type="dxa"/>
            <w:vMerge w:val="restart"/>
            <w:tcBorders>
              <w:tl2br w:val="nil"/>
              <w:tr2bl w:val="nil"/>
            </w:tcBorders>
            <w:noWrap w:val="0"/>
            <w:vAlign w:val="center"/>
          </w:tcPr>
          <w:p w14:paraId="3C8AB9D3">
            <w:pPr>
              <w:pStyle w:val="8"/>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河南省洛阳市洛龙区通衢路206号</w:t>
            </w:r>
          </w:p>
        </w:tc>
        <w:tc>
          <w:tcPr>
            <w:tcW w:w="4923" w:type="dxa"/>
            <w:tcBorders>
              <w:tl2br w:val="nil"/>
              <w:tr2bl w:val="nil"/>
            </w:tcBorders>
            <w:noWrap w:val="0"/>
            <w:vAlign w:val="top"/>
          </w:tcPr>
          <w:p w14:paraId="21C8ACDA">
            <w:pPr>
              <w:pStyle w:val="8"/>
              <w:spacing w:before="64" w:line="217" w:lineRule="auto"/>
              <w:ind w:left="36" w:leftChars="0"/>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夫精人工授精技术</w:t>
            </w:r>
          </w:p>
        </w:tc>
      </w:tr>
      <w:tr w14:paraId="6EEFC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62" w:type="dxa"/>
            <w:vMerge w:val="continue"/>
            <w:tcBorders>
              <w:tl2br w:val="nil"/>
              <w:tr2bl w:val="nil"/>
            </w:tcBorders>
            <w:noWrap w:val="0"/>
            <w:vAlign w:val="center"/>
          </w:tcPr>
          <w:p w14:paraId="6E832CBF">
            <w:pPr>
              <w:pStyle w:val="8"/>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sz w:val="28"/>
                <w:szCs w:val="28"/>
              </w:rPr>
            </w:pPr>
          </w:p>
        </w:tc>
        <w:tc>
          <w:tcPr>
            <w:tcW w:w="3458" w:type="dxa"/>
            <w:vMerge w:val="continue"/>
            <w:tcBorders>
              <w:tl2br w:val="nil"/>
              <w:tr2bl w:val="nil"/>
            </w:tcBorders>
            <w:noWrap w:val="0"/>
            <w:vAlign w:val="top"/>
          </w:tcPr>
          <w:p w14:paraId="022F0750">
            <w:pPr>
              <w:jc w:val="center"/>
              <w:rPr>
                <w:rFonts w:hint="eastAsia" w:ascii="仿宋_GB2312" w:hAnsi="仿宋_GB2312" w:eastAsia="仿宋_GB2312" w:cs="仿宋_GB2312"/>
                <w:spacing w:val="-1"/>
                <w:sz w:val="24"/>
                <w:szCs w:val="24"/>
              </w:rPr>
            </w:pPr>
          </w:p>
        </w:tc>
        <w:tc>
          <w:tcPr>
            <w:tcW w:w="4295" w:type="dxa"/>
            <w:vMerge w:val="continue"/>
            <w:tcBorders>
              <w:tl2br w:val="nil"/>
              <w:tr2bl w:val="nil"/>
            </w:tcBorders>
            <w:noWrap w:val="0"/>
            <w:vAlign w:val="top"/>
          </w:tcPr>
          <w:p w14:paraId="1A8698DC">
            <w:pPr>
              <w:jc w:val="center"/>
              <w:rPr>
                <w:rFonts w:hint="eastAsia" w:ascii="仿宋_GB2312" w:hAnsi="仿宋_GB2312" w:eastAsia="仿宋_GB2312" w:cs="仿宋_GB2312"/>
                <w:spacing w:val="1"/>
                <w:sz w:val="24"/>
                <w:szCs w:val="24"/>
              </w:rPr>
            </w:pPr>
          </w:p>
        </w:tc>
        <w:tc>
          <w:tcPr>
            <w:tcW w:w="4923" w:type="dxa"/>
            <w:tcBorders>
              <w:tl2br w:val="nil"/>
              <w:tr2bl w:val="nil"/>
            </w:tcBorders>
            <w:noWrap w:val="0"/>
            <w:vAlign w:val="top"/>
          </w:tcPr>
          <w:p w14:paraId="353CD21A">
            <w:pPr>
              <w:pStyle w:val="8"/>
              <w:spacing w:before="54" w:line="217" w:lineRule="auto"/>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5"/>
                <w:sz w:val="24"/>
                <w:szCs w:val="24"/>
              </w:rPr>
              <w:t>常规体外受精一胚胎移植技术</w:t>
            </w:r>
          </w:p>
        </w:tc>
      </w:tr>
      <w:tr w14:paraId="10AA3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62" w:type="dxa"/>
            <w:vMerge w:val="continue"/>
            <w:tcBorders>
              <w:tl2br w:val="nil"/>
              <w:tr2bl w:val="nil"/>
            </w:tcBorders>
            <w:noWrap w:val="0"/>
            <w:vAlign w:val="center"/>
          </w:tcPr>
          <w:p w14:paraId="043A67C1">
            <w:pPr>
              <w:pStyle w:val="8"/>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sz w:val="28"/>
                <w:szCs w:val="28"/>
              </w:rPr>
            </w:pPr>
          </w:p>
        </w:tc>
        <w:tc>
          <w:tcPr>
            <w:tcW w:w="3458" w:type="dxa"/>
            <w:vMerge w:val="continue"/>
            <w:tcBorders>
              <w:tl2br w:val="nil"/>
              <w:tr2bl w:val="nil"/>
            </w:tcBorders>
            <w:noWrap w:val="0"/>
            <w:vAlign w:val="top"/>
          </w:tcPr>
          <w:p w14:paraId="62556429">
            <w:pPr>
              <w:jc w:val="center"/>
              <w:rPr>
                <w:rFonts w:hint="eastAsia" w:ascii="仿宋_GB2312" w:hAnsi="仿宋_GB2312" w:eastAsia="仿宋_GB2312" w:cs="仿宋_GB2312"/>
                <w:spacing w:val="-1"/>
                <w:sz w:val="24"/>
                <w:szCs w:val="24"/>
              </w:rPr>
            </w:pPr>
          </w:p>
        </w:tc>
        <w:tc>
          <w:tcPr>
            <w:tcW w:w="4295" w:type="dxa"/>
            <w:vMerge w:val="continue"/>
            <w:tcBorders>
              <w:tl2br w:val="nil"/>
              <w:tr2bl w:val="nil"/>
            </w:tcBorders>
            <w:noWrap w:val="0"/>
            <w:vAlign w:val="top"/>
          </w:tcPr>
          <w:p w14:paraId="67BCFD47">
            <w:pPr>
              <w:jc w:val="center"/>
              <w:rPr>
                <w:rFonts w:hint="eastAsia" w:ascii="仿宋_GB2312" w:hAnsi="仿宋_GB2312" w:eastAsia="仿宋_GB2312" w:cs="仿宋_GB2312"/>
                <w:spacing w:val="1"/>
                <w:sz w:val="24"/>
                <w:szCs w:val="24"/>
              </w:rPr>
            </w:pPr>
          </w:p>
        </w:tc>
        <w:tc>
          <w:tcPr>
            <w:tcW w:w="4923" w:type="dxa"/>
            <w:tcBorders>
              <w:tl2br w:val="nil"/>
              <w:tr2bl w:val="nil"/>
            </w:tcBorders>
            <w:noWrap w:val="0"/>
            <w:vAlign w:val="top"/>
          </w:tcPr>
          <w:p w14:paraId="564DF3A6">
            <w:pPr>
              <w:pStyle w:val="8"/>
              <w:spacing w:before="54" w:line="217" w:lineRule="auto"/>
              <w:ind w:left="36" w:leftChars="0"/>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z w:val="24"/>
                <w:szCs w:val="24"/>
              </w:rPr>
              <w:t>卵胞浆内单精子显微注射技</w:t>
            </w:r>
          </w:p>
        </w:tc>
      </w:tr>
      <w:tr w14:paraId="495ED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62" w:type="dxa"/>
            <w:vMerge w:val="continue"/>
            <w:tcBorders>
              <w:tl2br w:val="nil"/>
              <w:tr2bl w:val="nil"/>
            </w:tcBorders>
            <w:noWrap w:val="0"/>
            <w:vAlign w:val="center"/>
          </w:tcPr>
          <w:p w14:paraId="011FE3C7">
            <w:pPr>
              <w:pStyle w:val="8"/>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sz w:val="28"/>
                <w:szCs w:val="28"/>
              </w:rPr>
            </w:pPr>
          </w:p>
        </w:tc>
        <w:tc>
          <w:tcPr>
            <w:tcW w:w="3458" w:type="dxa"/>
            <w:vMerge w:val="continue"/>
            <w:tcBorders>
              <w:tl2br w:val="nil"/>
              <w:tr2bl w:val="nil"/>
            </w:tcBorders>
            <w:noWrap w:val="0"/>
            <w:vAlign w:val="top"/>
          </w:tcPr>
          <w:p w14:paraId="467CC74E">
            <w:pPr>
              <w:jc w:val="center"/>
              <w:rPr>
                <w:rFonts w:hint="eastAsia" w:ascii="仿宋_GB2312" w:hAnsi="仿宋_GB2312" w:eastAsia="仿宋_GB2312" w:cs="仿宋_GB2312"/>
                <w:spacing w:val="-1"/>
                <w:sz w:val="24"/>
                <w:szCs w:val="24"/>
              </w:rPr>
            </w:pPr>
          </w:p>
        </w:tc>
        <w:tc>
          <w:tcPr>
            <w:tcW w:w="4295" w:type="dxa"/>
            <w:vMerge w:val="continue"/>
            <w:tcBorders>
              <w:tl2br w:val="nil"/>
              <w:tr2bl w:val="nil"/>
            </w:tcBorders>
            <w:noWrap w:val="0"/>
            <w:vAlign w:val="top"/>
          </w:tcPr>
          <w:p w14:paraId="18142099">
            <w:pPr>
              <w:jc w:val="center"/>
              <w:rPr>
                <w:rFonts w:hint="eastAsia" w:ascii="仿宋_GB2312" w:hAnsi="仿宋_GB2312" w:eastAsia="仿宋_GB2312" w:cs="仿宋_GB2312"/>
                <w:spacing w:val="1"/>
                <w:sz w:val="24"/>
                <w:szCs w:val="24"/>
              </w:rPr>
            </w:pPr>
          </w:p>
        </w:tc>
        <w:tc>
          <w:tcPr>
            <w:tcW w:w="4923" w:type="dxa"/>
            <w:tcBorders>
              <w:tl2br w:val="nil"/>
              <w:tr2bl w:val="nil"/>
            </w:tcBorders>
            <w:noWrap w:val="0"/>
            <w:vAlign w:val="top"/>
          </w:tcPr>
          <w:p w14:paraId="3AEA3665">
            <w:pPr>
              <w:pStyle w:val="8"/>
              <w:spacing w:before="74" w:line="219" w:lineRule="auto"/>
              <w:ind w:left="36" w:leftChars="0"/>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供精人工授精技术</w:t>
            </w:r>
          </w:p>
        </w:tc>
      </w:tr>
      <w:tr w14:paraId="3638E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62" w:type="dxa"/>
            <w:tcBorders>
              <w:tl2br w:val="nil"/>
              <w:tr2bl w:val="nil"/>
            </w:tcBorders>
            <w:noWrap w:val="0"/>
            <w:vAlign w:val="center"/>
          </w:tcPr>
          <w:p w14:paraId="76866A2C">
            <w:pPr>
              <w:pStyle w:val="8"/>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3458" w:type="dxa"/>
            <w:tcBorders>
              <w:tl2br w:val="nil"/>
              <w:tr2bl w:val="nil"/>
            </w:tcBorders>
            <w:noWrap w:val="0"/>
            <w:vAlign w:val="center"/>
          </w:tcPr>
          <w:p w14:paraId="7DF7CEEF">
            <w:pPr>
              <w:pStyle w:val="8"/>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洛阳不孕不育症医</w:t>
            </w:r>
            <w:r>
              <w:rPr>
                <w:rFonts w:hint="eastAsia" w:ascii="仿宋_GB2312" w:hAnsi="仿宋_GB2312" w:eastAsia="仿宋_GB2312" w:cs="仿宋_GB2312"/>
                <w:sz w:val="24"/>
                <w:szCs w:val="24"/>
              </w:rPr>
              <w:t>院</w:t>
            </w:r>
          </w:p>
        </w:tc>
        <w:tc>
          <w:tcPr>
            <w:tcW w:w="4295" w:type="dxa"/>
            <w:tcBorders>
              <w:tl2br w:val="nil"/>
              <w:tr2bl w:val="nil"/>
            </w:tcBorders>
            <w:noWrap w:val="0"/>
            <w:vAlign w:val="center"/>
          </w:tcPr>
          <w:p w14:paraId="17A1D4C4">
            <w:pPr>
              <w:pStyle w:val="8"/>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河南省洛阳市中州中路</w:t>
            </w:r>
            <w:r>
              <w:rPr>
                <w:rFonts w:hint="eastAsia" w:ascii="仿宋_GB2312" w:hAnsi="仿宋_GB2312" w:eastAsia="仿宋_GB2312" w:cs="仿宋_GB2312"/>
                <w:spacing w:val="4"/>
                <w:sz w:val="24"/>
                <w:szCs w:val="24"/>
              </w:rPr>
              <w:t>38号</w:t>
            </w:r>
          </w:p>
        </w:tc>
        <w:tc>
          <w:tcPr>
            <w:tcW w:w="4923" w:type="dxa"/>
            <w:tcBorders>
              <w:tl2br w:val="nil"/>
              <w:tr2bl w:val="nil"/>
            </w:tcBorders>
            <w:noWrap w:val="0"/>
            <w:vAlign w:val="center"/>
          </w:tcPr>
          <w:p w14:paraId="1BAB2476">
            <w:pPr>
              <w:pStyle w:val="8"/>
              <w:keepNext w:val="0"/>
              <w:keepLines w:val="0"/>
              <w:pageBreakBefore w:val="0"/>
              <w:widowControl w:val="0"/>
              <w:kinsoku/>
              <w:wordWrap/>
              <w:overflowPunct/>
              <w:topLinePunct w:val="0"/>
              <w:autoSpaceDE/>
              <w:autoSpaceDN/>
              <w:bidi w:val="0"/>
              <w:adjustRightInd/>
              <w:snapToGrid/>
              <w:spacing w:line="240" w:lineRule="exact"/>
              <w:ind w:left="0" w:leftChars="0" w:right="0" w:firstLine="0"/>
              <w:jc w:val="both"/>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夫精人工授精技术</w:t>
            </w:r>
          </w:p>
        </w:tc>
      </w:tr>
    </w:tbl>
    <w:p w14:paraId="6EA6CC5F">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_GB2312" w:hAnsi="仿宋_GB2312" w:eastAsia="仿宋_GB2312" w:cs="仿宋_GB2312"/>
          <w:color w:val="auto"/>
          <w:sz w:val="32"/>
          <w:szCs w:val="32"/>
          <w:lang w:val="en-US" w:eastAsia="zh-CN"/>
        </w:rPr>
      </w:pPr>
    </w:p>
    <w:sectPr>
      <w:pgSz w:w="16838" w:h="11906" w:orient="landscape"/>
      <w:pgMar w:top="1417" w:right="1701" w:bottom="1417" w:left="1701" w:header="851" w:footer="992" w:gutter="0"/>
      <w:pgBorders w:offsetFrom="page">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NzhjNzZlN2IwY2FhNGYxZjRjODViNTBhNTkxNzkifQ=="/>
  </w:docVars>
  <w:rsids>
    <w:rsidRoot w:val="00000000"/>
    <w:rsid w:val="02B349AE"/>
    <w:rsid w:val="07C147C6"/>
    <w:rsid w:val="1A7F2110"/>
    <w:rsid w:val="27FFFFBC"/>
    <w:rsid w:val="2BFD22C0"/>
    <w:rsid w:val="31FEAD91"/>
    <w:rsid w:val="36FD1F1F"/>
    <w:rsid w:val="3DCA1B97"/>
    <w:rsid w:val="3EAB0813"/>
    <w:rsid w:val="42687C33"/>
    <w:rsid w:val="467E15F1"/>
    <w:rsid w:val="49106CBD"/>
    <w:rsid w:val="49D11E26"/>
    <w:rsid w:val="4BF77A18"/>
    <w:rsid w:val="4FED19A9"/>
    <w:rsid w:val="51487666"/>
    <w:rsid w:val="56BDD5CF"/>
    <w:rsid w:val="5BC754AC"/>
    <w:rsid w:val="5D6FC7A3"/>
    <w:rsid w:val="5F826C08"/>
    <w:rsid w:val="61F60E34"/>
    <w:rsid w:val="66A01FD1"/>
    <w:rsid w:val="6FDBBF40"/>
    <w:rsid w:val="6FFBD9F7"/>
    <w:rsid w:val="71FEB0EA"/>
    <w:rsid w:val="7251779C"/>
    <w:rsid w:val="73EFC598"/>
    <w:rsid w:val="759FED87"/>
    <w:rsid w:val="75B93495"/>
    <w:rsid w:val="78AD3104"/>
    <w:rsid w:val="79F98458"/>
    <w:rsid w:val="7AEBC32C"/>
    <w:rsid w:val="7BA96EC9"/>
    <w:rsid w:val="7CFF521C"/>
    <w:rsid w:val="7D6BFB70"/>
    <w:rsid w:val="7D804EB9"/>
    <w:rsid w:val="7DF567CD"/>
    <w:rsid w:val="7EDF8157"/>
    <w:rsid w:val="7EFCA31C"/>
    <w:rsid w:val="7F2352D5"/>
    <w:rsid w:val="7FA79C3C"/>
    <w:rsid w:val="7FC6C331"/>
    <w:rsid w:val="7FFD70AE"/>
    <w:rsid w:val="9BECFA21"/>
    <w:rsid w:val="AF7FA52B"/>
    <w:rsid w:val="BFBDFEC5"/>
    <w:rsid w:val="BFFDBA48"/>
    <w:rsid w:val="C5376C04"/>
    <w:rsid w:val="D67D422D"/>
    <w:rsid w:val="DEFFA694"/>
    <w:rsid w:val="DF9F80EA"/>
    <w:rsid w:val="DFCD2818"/>
    <w:rsid w:val="E77F42DE"/>
    <w:rsid w:val="EADF4688"/>
    <w:rsid w:val="ECEFFCE6"/>
    <w:rsid w:val="EF761EC3"/>
    <w:rsid w:val="FB6FF883"/>
    <w:rsid w:val="FBFB289B"/>
    <w:rsid w:val="FCBF0F7E"/>
    <w:rsid w:val="FEFDF9D2"/>
    <w:rsid w:val="FFD564A1"/>
    <w:rsid w:val="FFF7D4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8">
    <w:name w:val="Table Text"/>
    <w:basedOn w:val="1"/>
    <w:semiHidden/>
    <w:qFormat/>
    <w:uiPriority w:val="0"/>
    <w:rPr>
      <w:rFonts w:ascii="宋体" w:hAnsi="宋体" w:eastAsia="宋体" w:cs="宋体"/>
      <w:sz w:val="20"/>
      <w:szCs w:val="20"/>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1546</Words>
  <Characters>1789</Characters>
  <Lines>0</Lines>
  <Paragraphs>0</Paragraphs>
  <TotalTime>166</TotalTime>
  <ScaleCrop>false</ScaleCrop>
  <LinksUpToDate>false</LinksUpToDate>
  <CharactersWithSpaces>1789</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2014-11-09T04:08:00Z</dcterms:created>
  <dc:creator>Administrator</dc:creator>
  <cp:lastModifiedBy>懒詹土幸拔</cp:lastModifiedBy>
  <cp:lastPrinted>2024-07-20T08:28:00Z</cp:lastPrinted>
  <dcterms:modified xsi:type="dcterms:W3CDTF">2024-09-01T11:24:07Z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188779BA993F496EA675DB130CA7EB93_13</vt:lpwstr>
  </property>
</Properties>
</file>